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292314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4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7A6AB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7E004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33197D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«Сварка»</w:t>
                  </w:r>
                </w:p>
                <w:p w:rsidR="00B87AB4" w:rsidRPr="00FE2A19" w:rsidRDefault="00B87A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СТУДЕНТЫ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91B" w:rsidRPr="00FE2A19" w:rsidRDefault="00C0691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C0691B" w:rsidRDefault="00C0691B" w:rsidP="00FE2A19"/>
    <w:p w:rsidR="00FE2A19" w:rsidRDefault="00FE2A19" w:rsidP="00FE2A19"/>
    <w:p w:rsidR="00C0691B" w:rsidRDefault="00C0691B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Default="00FE2A19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sz w:val="32"/>
          <w:szCs w:val="32"/>
        </w:rPr>
        <w:t>«Сварка»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0691B" w:rsidRDefault="00C0691B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BF2C7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  <w:r w:rsidR="004C1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85A" w:rsidRPr="004C185A">
        <w:rPr>
          <w:rFonts w:ascii="Times New Roman" w:eastAsia="Calibri" w:hAnsi="Times New Roman" w:cs="Times New Roman"/>
          <w:sz w:val="24"/>
          <w:szCs w:val="24"/>
        </w:rPr>
        <w:t>ООО "Инжиниринговый Центр Сварка"</w:t>
      </w:r>
      <w:r w:rsidR="004C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85A" w:rsidRPr="00FE2A19" w:rsidRDefault="004C185A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A19" w:rsidRPr="00FE2A19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E2A19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FE2A19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221739" w:rsidRPr="004C185A" w:rsidRDefault="00221739" w:rsidP="00221739">
      <w:pPr>
        <w:tabs>
          <w:tab w:val="left" w:pos="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91B">
        <w:rPr>
          <w:rFonts w:ascii="Times New Roman" w:eastAsia="Calibri" w:hAnsi="Times New Roman" w:cs="Times New Roman"/>
          <w:sz w:val="24"/>
          <w:szCs w:val="24"/>
        </w:rPr>
        <w:t>М.В. Антонов,  технический директор ООО "Инжиниринговый центр Сварка</w:t>
      </w:r>
      <w:r>
        <w:rPr>
          <w:rFonts w:ascii="Times New Roman" w:eastAsia="Calibri" w:hAnsi="Times New Roman" w:cs="Times New Roman"/>
          <w:sz w:val="24"/>
          <w:szCs w:val="24"/>
        </w:rPr>
        <w:t>», р</w:t>
      </w:r>
      <w:r w:rsidRPr="00C0691B">
        <w:rPr>
          <w:rFonts w:ascii="Times New Roman" w:eastAsia="Calibri" w:hAnsi="Times New Roman" w:cs="Times New Roman"/>
          <w:sz w:val="24"/>
          <w:szCs w:val="24"/>
        </w:rPr>
        <w:t>уководитель аттестационного пункта АЦ СВР по аттестации сварочного оборудования, технологий и сварочного персонала.</w:t>
      </w:r>
    </w:p>
    <w:p w:rsidR="00221739" w:rsidRPr="00C0691B" w:rsidRDefault="00221739" w:rsidP="00221739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>Ачадовский</w:t>
      </w:r>
      <w:proofErr w:type="spellEnd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инженер ООО "ИЦС", преподаватель </w:t>
      </w:r>
      <w:r w:rsidRPr="00C0691B">
        <w:rPr>
          <w:rFonts w:ascii="Times New Roman" w:eastAsia="Calibri" w:hAnsi="Times New Roman" w:cs="Times New Roman"/>
        </w:rPr>
        <w:t>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>Л.И. Рожкова, первый заместитель директора 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 xml:space="preserve">И.А. </w:t>
      </w:r>
      <w:proofErr w:type="spellStart"/>
      <w:r w:rsidRPr="00C0691B">
        <w:rPr>
          <w:rFonts w:ascii="Times New Roman" w:eastAsia="Calibri" w:hAnsi="Times New Roman" w:cs="Times New Roman"/>
        </w:rPr>
        <w:t>Ночевная</w:t>
      </w:r>
      <w:proofErr w:type="spellEnd"/>
      <w:r w:rsidRPr="00C0691B">
        <w:rPr>
          <w:rFonts w:ascii="Times New Roman" w:eastAsia="Calibri" w:hAnsi="Times New Roman" w:cs="Times New Roman"/>
        </w:rPr>
        <w:t>, заместитель директора по УМР ППК СГТУ имени Гагарина Ю.А.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FE2A19" w:rsidRPr="008F7AFD" w:rsidRDefault="00FE2A19" w:rsidP="00FE2A19">
      <w:pP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8F7AF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Ручная дуговая сварка плавящимся покрытым электродом ответственных конструкций (изделие) из </w:t>
      </w:r>
      <w:r w:rsidRPr="008F7AFD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стали.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1" w:name="_Toc388003732"/>
      <w:bookmarkStart w:id="2" w:name="_Toc428172629"/>
      <w:bookmarkStart w:id="3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1"/>
      <w:bookmarkEnd w:id="2"/>
      <w:bookmarkEnd w:id="3"/>
    </w:p>
    <w:p w:rsidR="00C76CD1" w:rsidRPr="00D41AAF" w:rsidRDefault="004E18E1" w:rsidP="00C76CD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 w:rsidR="009E1C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E1CD2"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и Профессионально-педагогический колледж СГТУ имени Гагарина Ю.А. 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>25-2</w:t>
      </w:r>
      <w:r w:rsidR="00C76CD1">
        <w:rPr>
          <w:rFonts w:ascii="Times New Roman" w:eastAsia="Calibri" w:hAnsi="Times New Roman" w:cs="Times New Roman"/>
          <w:sz w:val="26"/>
          <w:szCs w:val="26"/>
        </w:rPr>
        <w:t>7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C76CD1">
        <w:rPr>
          <w:rFonts w:ascii="Times New Roman" w:eastAsia="Calibri" w:hAnsi="Times New Roman" w:cs="Times New Roman"/>
          <w:sz w:val="26"/>
          <w:szCs w:val="26"/>
        </w:rPr>
        <w:t>9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года проводят на базе </w:t>
      </w:r>
      <w:r w:rsidR="00C76CD1">
        <w:rPr>
          <w:rFonts w:ascii="Times New Roman" w:eastAsia="Calibri" w:hAnsi="Times New Roman" w:cs="Times New Roman"/>
          <w:sz w:val="26"/>
          <w:szCs w:val="26"/>
        </w:rPr>
        <w:t>ППК СГТУ имени Гагарина Ю.А.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по адресу</w:t>
      </w:r>
      <w:r w:rsidR="00C76CD1">
        <w:rPr>
          <w:rFonts w:ascii="Times New Roman" w:eastAsia="Calibri" w:hAnsi="Times New Roman" w:cs="Times New Roman"/>
          <w:sz w:val="26"/>
          <w:szCs w:val="26"/>
        </w:rPr>
        <w:t>: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г. Саратов, ул. Сакко и Ванцетти, д.15</w:t>
      </w:r>
      <w:r w:rsidR="00C76CD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C76CD1" w:rsidRPr="00D41AAF">
        <w:rPr>
          <w:rFonts w:ascii="Times New Roman" w:eastAsia="Times New Roman" w:hAnsi="Times New Roman" w:cs="Times New Roman"/>
          <w:sz w:val="26"/>
          <w:szCs w:val="26"/>
        </w:rPr>
        <w:t>ООО «Инжиниринговый центр Сварка»</w:t>
      </w:r>
      <w:r w:rsidR="00C76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6CD1"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r w:rsidR="00C76CD1" w:rsidRPr="00D41A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Саратов, Московское шоссе, д.14а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финал областного конкурса профессионального</w:t>
      </w:r>
      <w:proofErr w:type="gramEnd"/>
      <w:r w:rsidR="00C76CD1" w:rsidRPr="00F826EA">
        <w:rPr>
          <w:rFonts w:ascii="Times New Roman" w:eastAsia="Calibri" w:hAnsi="Times New Roman" w:cs="Times New Roman"/>
          <w:sz w:val="26"/>
          <w:szCs w:val="26"/>
        </w:rPr>
        <w:t xml:space="preserve"> мастерства «Лучший по профессии - 201</w:t>
      </w:r>
      <w:r w:rsidR="00C76CD1">
        <w:rPr>
          <w:rFonts w:ascii="Times New Roman" w:eastAsia="Calibri" w:hAnsi="Times New Roman" w:cs="Times New Roman"/>
          <w:sz w:val="26"/>
          <w:szCs w:val="26"/>
        </w:rPr>
        <w:t>9</w:t>
      </w:r>
      <w:r w:rsidR="00C76CD1" w:rsidRPr="00F826EA">
        <w:rPr>
          <w:rFonts w:ascii="Times New Roman" w:eastAsia="Calibri" w:hAnsi="Times New Roman" w:cs="Times New Roman"/>
          <w:sz w:val="26"/>
          <w:szCs w:val="26"/>
        </w:rPr>
        <w:t>»</w:t>
      </w:r>
      <w:r w:rsidR="00C76C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6CD1" w:rsidRPr="00D41AAF">
        <w:rPr>
          <w:rFonts w:ascii="Times New Roman" w:eastAsia="Calibri" w:hAnsi="Times New Roman" w:cs="Times New Roman"/>
          <w:sz w:val="26"/>
          <w:szCs w:val="26"/>
        </w:rPr>
        <w:t xml:space="preserve">(далее - Конкурс) по компетенции «Сварка». </w:t>
      </w:r>
    </w:p>
    <w:p w:rsidR="00FE2A19" w:rsidRPr="008F7AFD" w:rsidRDefault="00FE2A19" w:rsidP="00C76CD1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sz w:val="26"/>
          <w:szCs w:val="26"/>
        </w:rPr>
        <w:t>Участники конкурса</w:t>
      </w:r>
    </w:p>
    <w:p w:rsidR="00B87AB4" w:rsidRPr="00B87AB4" w:rsidRDefault="00B87AB4" w:rsidP="00B87A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7A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студенты, обучающиеся по программам подготовки специалистов среднего звена и программам подготовки квалифицированных рабочих, служащих.</w:t>
      </w:r>
    </w:p>
    <w:p w:rsidR="00FE2A19" w:rsidRPr="008F7AFD" w:rsidRDefault="00FE2A19" w:rsidP="00714EA9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A19" w:rsidRPr="008F7AFD" w:rsidRDefault="00FE2A19" w:rsidP="00FE2A19">
      <w:pPr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856" w:hanging="431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Описание трудовых функций </w:t>
      </w:r>
    </w:p>
    <w:p w:rsidR="00FE2A19" w:rsidRPr="008F7AFD" w:rsidRDefault="00FE2A19" w:rsidP="00714EA9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нагрузками.</w:t>
      </w:r>
      <w:proofErr w:type="gramEnd"/>
    </w:p>
    <w:p w:rsidR="000C29DD" w:rsidRPr="008F7AFD" w:rsidRDefault="000C29DD" w:rsidP="00FE2A19">
      <w:pPr>
        <w:autoSpaceDE w:val="0"/>
        <w:autoSpaceDN w:val="0"/>
        <w:adjustRightInd w:val="0"/>
        <w:spacing w:before="240" w:after="240"/>
        <w:ind w:left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357" w:hanging="35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ЗАДАНИЕ</w:t>
      </w:r>
    </w:p>
    <w:p w:rsidR="00FE2A19" w:rsidRPr="008F7AFD" w:rsidRDefault="00FE2A19" w:rsidP="00714EA9">
      <w:pPr>
        <w:keepNext/>
        <w:keepLines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«Сварщик»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28 ноября 2013 г. N 701н).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16413E" w:rsidRPr="00353877" w:rsidRDefault="0016413E" w:rsidP="0016413E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="00BF2C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2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>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BF2C7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16413E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13E" w:rsidRPr="00353877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Максимальное количество </w:t>
      </w:r>
      <w:r w:rsidR="00BF2C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баллов – </w:t>
      </w:r>
      <w:r w:rsidR="00BF2C7B" w:rsidRPr="008462A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8462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баллов.</w:t>
      </w:r>
    </w:p>
    <w:p w:rsidR="00FE2A19" w:rsidRPr="008F7AFD" w:rsidRDefault="0016413E" w:rsidP="00164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выполнение сварочных работ</w:t>
      </w:r>
      <w:r w:rsidR="00032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16413E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практическог</w:t>
      </w:r>
      <w:r w:rsidR="005114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задания 1час.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A19" w:rsidRPr="008F7AFD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8C7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ксимальное количество баллов – </w:t>
      </w:r>
      <w:r w:rsidR="008C7285"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62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C728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баллов.</w:t>
      </w:r>
    </w:p>
    <w:p w:rsidR="00C52C74" w:rsidRDefault="00FE2A19" w:rsidP="008C6290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2.1.</w:t>
      </w:r>
      <w:r w:rsidR="00032478">
        <w:rPr>
          <w:rFonts w:ascii="Times New Roman" w:eastAsia="Calibri" w:hAnsi="Times New Roman" w:cs="Times New Roman"/>
          <w:sz w:val="26"/>
          <w:szCs w:val="26"/>
        </w:rPr>
        <w:t>Выполнить сборку стыкового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трубного соединения, состоящую из двух элементов: труба </w:t>
      </w:r>
      <w:r w:rsidR="00032478">
        <w:rPr>
          <w:rFonts w:ascii="Times New Roman" w:eastAsia="Calibri" w:hAnsi="Times New Roman" w:cs="Times New Roman"/>
          <w:sz w:val="26"/>
          <w:szCs w:val="26"/>
        </w:rPr>
        <w:t>76х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5</w:t>
      </w:r>
      <w:r w:rsidR="00032478">
        <w:rPr>
          <w:rFonts w:ascii="Times New Roman" w:eastAsia="Calibri" w:hAnsi="Times New Roman" w:cs="Times New Roman"/>
          <w:sz w:val="26"/>
          <w:szCs w:val="26"/>
        </w:rPr>
        <w:t>мм,  длина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032478">
        <w:rPr>
          <w:rFonts w:ascii="Times New Roman" w:eastAsia="Calibri" w:hAnsi="Times New Roman" w:cs="Times New Roman"/>
          <w:sz w:val="26"/>
          <w:szCs w:val="26"/>
        </w:rPr>
        <w:t xml:space="preserve"> мм, Ст20;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лист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ED6F81" w:rsidRPr="008462A5">
        <w:rPr>
          <w:rFonts w:ascii="Times New Roman" w:eastAsia="Calibri" w:hAnsi="Times New Roman" w:cs="Times New Roman"/>
          <w:sz w:val="26"/>
          <w:szCs w:val="26"/>
        </w:rPr>
        <w:t>300</w:t>
      </w:r>
      <w:r w:rsidR="00ED6F81">
        <w:rPr>
          <w:rFonts w:ascii="Times New Roman" w:eastAsia="Calibri" w:hAnsi="Times New Roman" w:cs="Times New Roman"/>
          <w:sz w:val="26"/>
          <w:szCs w:val="26"/>
        </w:rPr>
        <w:t xml:space="preserve">мм, </w:t>
      </w:r>
      <w:r w:rsidR="0016719E">
        <w:rPr>
          <w:rFonts w:ascii="Times New Roman" w:eastAsia="Calibri" w:hAnsi="Times New Roman" w:cs="Times New Roman"/>
          <w:sz w:val="26"/>
          <w:szCs w:val="26"/>
        </w:rPr>
        <w:t xml:space="preserve"> Ст20</w:t>
      </w:r>
      <w:r w:rsidR="00032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C52C74" w:rsidRDefault="00C52C74" w:rsidP="00C52C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16719E" w:rsidRPr="00F463D1" w:rsidRDefault="0016719E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выполнения задачи 2.1 уча</w:t>
      </w:r>
      <w:r w:rsidR="00FB49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стник использует чертеж стыкового</w:t>
      </w: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трубного соединения и технологическую карту  (предоставляются организатором  Конкурса в момент проведения испытаний);</w:t>
      </w:r>
    </w:p>
    <w:p w:rsidR="00F463D1" w:rsidRPr="00F463D1" w:rsidRDefault="00F463D1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задачи выполняются на оборудовании: сварочные посты для электродуговой сварки, источники питания сварочной дуги: инверторы типа «</w:t>
      </w:r>
      <w:proofErr w:type="spell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Форсаж</w:t>
      </w:r>
      <w:proofErr w:type="spell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с номинальным током 160</w:t>
      </w:r>
      <w:proofErr w:type="gram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инверторы тип</w:t>
      </w:r>
      <w:r w:rsidR="00F712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«Кедр» с номинальным током 200</w:t>
      </w: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6719E" w:rsidRPr="0016719E" w:rsidRDefault="00F463D1" w:rsidP="00167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для выполнения  задания  участнику пр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едоставляется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заготовка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;с</w:t>
      </w:r>
      <w:proofErr w:type="gram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борочно-сварочные приспособления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электроды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(см. п. 5 Материальная база для проведения конкурса)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52C74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прихватки элементов выполняются с соблюдением соответствующего зазора</w:t>
      </w:r>
      <w:r w:rsidR="00C52C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22781">
        <w:rPr>
          <w:rFonts w:ascii="Times New Roman" w:eastAsia="Calibri" w:hAnsi="Times New Roman" w:cs="Times New Roman"/>
          <w:sz w:val="26"/>
          <w:szCs w:val="26"/>
        </w:rPr>
        <w:t>п</w:t>
      </w:r>
      <w:r w:rsidR="00C52C74">
        <w:rPr>
          <w:rFonts w:ascii="Times New Roman" w:eastAsia="Calibri" w:hAnsi="Times New Roman" w:cs="Times New Roman"/>
          <w:sz w:val="26"/>
          <w:szCs w:val="26"/>
        </w:rPr>
        <w:t>рихватки проставляются на режимах</w:t>
      </w:r>
      <w:r w:rsidR="00C458C0">
        <w:rPr>
          <w:rFonts w:ascii="Times New Roman" w:eastAsia="Calibri" w:hAnsi="Times New Roman" w:cs="Times New Roman"/>
          <w:sz w:val="26"/>
          <w:szCs w:val="26"/>
        </w:rPr>
        <w:t xml:space="preserve"> корневого слоя, электродами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для корневого слоя</w:t>
      </w:r>
      <w:r w:rsidR="007227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  <w:r w:rsidR="00722781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необходимо 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</w:t>
      </w:r>
      <w:r w:rsidR="00722781">
        <w:rPr>
          <w:rFonts w:ascii="Times New Roman" w:eastAsia="Calibri" w:hAnsi="Times New Roman" w:cs="Times New Roman"/>
          <w:sz w:val="26"/>
          <w:szCs w:val="26"/>
        </w:rPr>
        <w:t xml:space="preserve"> сборки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2781" w:rsidRDefault="00722781" w:rsidP="00722781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2.2.</w:t>
      </w:r>
      <w:r w:rsidR="00C458C0">
        <w:rPr>
          <w:rFonts w:ascii="Times New Roman" w:eastAsia="Calibri" w:hAnsi="Times New Roman" w:cs="Times New Roman"/>
          <w:sz w:val="26"/>
          <w:szCs w:val="26"/>
        </w:rPr>
        <w:t>Выполнить сварку стыкового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 трубного соединения, </w:t>
      </w:r>
      <w:r>
        <w:rPr>
          <w:rFonts w:ascii="Times New Roman" w:eastAsia="Calibri" w:hAnsi="Times New Roman" w:cs="Times New Roman"/>
          <w:sz w:val="26"/>
          <w:szCs w:val="26"/>
        </w:rPr>
        <w:t>состоящую из двух элементов:</w:t>
      </w:r>
      <w:r w:rsidR="00C458C0" w:rsidRPr="00C458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58C0">
        <w:rPr>
          <w:rFonts w:ascii="Times New Roman" w:eastAsia="Calibri" w:hAnsi="Times New Roman" w:cs="Times New Roman"/>
          <w:sz w:val="26"/>
          <w:szCs w:val="26"/>
        </w:rPr>
        <w:t>труба 76х</w:t>
      </w:r>
      <w:r w:rsidR="00C458C0" w:rsidRPr="00C52C74">
        <w:rPr>
          <w:rFonts w:ascii="Times New Roman" w:eastAsia="Calibri" w:hAnsi="Times New Roman" w:cs="Times New Roman"/>
          <w:sz w:val="26"/>
          <w:szCs w:val="26"/>
        </w:rPr>
        <w:t>5</w:t>
      </w:r>
      <w:r w:rsidR="00C458C0">
        <w:rPr>
          <w:rFonts w:ascii="Times New Roman" w:eastAsia="Calibri" w:hAnsi="Times New Roman" w:cs="Times New Roman"/>
          <w:sz w:val="26"/>
          <w:szCs w:val="26"/>
        </w:rPr>
        <w:t>мм,  длина</w:t>
      </w:r>
      <w:r w:rsidR="00C458C0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458C0">
        <w:rPr>
          <w:rFonts w:ascii="Times New Roman" w:eastAsia="Calibri" w:hAnsi="Times New Roman" w:cs="Times New Roman"/>
          <w:sz w:val="26"/>
          <w:szCs w:val="26"/>
        </w:rPr>
        <w:t xml:space="preserve"> мм, Ст20; лист </w:t>
      </w:r>
      <w:r w:rsidR="00C458C0" w:rsidRPr="00C52C74">
        <w:rPr>
          <w:rFonts w:ascii="Times New Roman" w:eastAsia="Calibri" w:hAnsi="Times New Roman" w:cs="Times New Roman"/>
          <w:sz w:val="26"/>
          <w:szCs w:val="26"/>
        </w:rPr>
        <w:t>6</w:t>
      </w:r>
      <w:r w:rsidR="00C458C0">
        <w:rPr>
          <w:rFonts w:ascii="Times New Roman" w:eastAsia="Calibri" w:hAnsi="Times New Roman" w:cs="Times New Roman"/>
          <w:sz w:val="26"/>
          <w:szCs w:val="26"/>
        </w:rPr>
        <w:t>х</w:t>
      </w:r>
      <w:r w:rsidR="00C458C0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458C0">
        <w:rPr>
          <w:rFonts w:ascii="Times New Roman" w:eastAsia="Calibri" w:hAnsi="Times New Roman" w:cs="Times New Roman"/>
          <w:sz w:val="26"/>
          <w:szCs w:val="26"/>
        </w:rPr>
        <w:t xml:space="preserve">х300мм,  Ст20 </w:t>
      </w:r>
      <w:r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FE2A19" w:rsidRPr="008F7AFD" w:rsidRDefault="00FE2A19" w:rsidP="00FE2A1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в 2 слоя (корневой и облицовочный </w:t>
      </w:r>
      <w:r w:rsidR="00722781">
        <w:rPr>
          <w:rFonts w:ascii="Times New Roman" w:eastAsia="Calibri" w:hAnsi="Times New Roman" w:cs="Times New Roman"/>
          <w:sz w:val="26"/>
          <w:szCs w:val="26"/>
        </w:rPr>
        <w:t>слои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</w:t>
      </w:r>
      <w:r w:rsidR="00FE2A19" w:rsidRPr="007D4D1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</w:t>
      </w:r>
      <w:r w:rsidR="007D4D16" w:rsidRPr="007D4D16">
        <w:rPr>
          <w:rFonts w:ascii="Times New Roman" w:eastAsia="Calibri" w:hAnsi="Times New Roman" w:cs="Times New Roman"/>
          <w:sz w:val="26"/>
          <w:szCs w:val="26"/>
          <w:u w:val="single"/>
        </w:rPr>
        <w:t>нижнем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 положении;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произвести зачистку сварных швов; </w:t>
      </w:r>
    </w:p>
    <w:p w:rsidR="00FE2A19" w:rsidRPr="008F7AFD" w:rsidRDefault="003928E4" w:rsidP="00FE2A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sz w:val="26"/>
          <w:szCs w:val="26"/>
        </w:rPr>
        <w:t>* ВНИМАНИЕ!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К выполнению практического здания допускаются участники при наличии сварочного костюма, рукавиц, сварочной маски.</w:t>
      </w:r>
    </w:p>
    <w:p w:rsidR="00FE2A19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нарушении техники безопасности в процессе выполнения сварочных работ участник отстраняется от выполнения конкурсного испытания.</w:t>
      </w:r>
    </w:p>
    <w:p w:rsidR="00E00E0E" w:rsidRPr="00722781" w:rsidRDefault="00E00E0E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E2A19" w:rsidRPr="008F7AFD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FE2A19" w:rsidRDefault="00FE2A19" w:rsidP="00FE2A19">
      <w:pPr>
        <w:numPr>
          <w:ilvl w:val="0"/>
          <w:numId w:val="1"/>
        </w:numPr>
        <w:spacing w:after="240"/>
        <w:ind w:left="357" w:hanging="357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МЕТОДИКА И КРИТЕРИИ ОЦЕНКИ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E00E0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АСТ-тест. По 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задания, программа АСТ-тест выдает анализ результ</w:t>
      </w:r>
      <w:r w:rsidR="00B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B3754E" w:rsidRPr="00F7715A" w:rsidRDefault="00B3754E" w:rsidP="00B3754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требованиям работодателей;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участников, реально продемонстрированных в моделируемых профессиональных ситуациях в ходе выполнения конкурсных испытаний;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- адекватности оценки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–</w:t>
      </w:r>
      <w:r w:rsidR="00B85C87" w:rsidRPr="00B85C87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B85C87" w:rsidRPr="00B85C87">
        <w:rPr>
          <w:rFonts w:ascii="Times New Roman" w:eastAsia="Calibri" w:hAnsi="Times New Roman" w:cs="Times New Roman"/>
          <w:sz w:val="26"/>
          <w:szCs w:val="26"/>
        </w:rPr>
        <w:t>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Default="00B3754E" w:rsidP="00B3754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зависимости от типа вопроса ответ считается правильным, если: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3754E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при ответе на вопрос  на установление соответствия, если сопоставление 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произведено</w:t>
      </w:r>
      <w:proofErr w:type="gramEnd"/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 верно для всех пар.</w:t>
      </w:r>
    </w:p>
    <w:p w:rsidR="00905A16" w:rsidRDefault="00905A16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54E" w:rsidRDefault="00B3754E" w:rsidP="00B3754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tbl>
      <w:tblPr>
        <w:tblStyle w:val="3"/>
        <w:tblW w:w="8613" w:type="dxa"/>
        <w:tblLook w:val="04A0"/>
      </w:tblPr>
      <w:tblGrid>
        <w:gridCol w:w="1101"/>
        <w:gridCol w:w="7512"/>
      </w:tblGrid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7512" w:type="dxa"/>
          </w:tcPr>
          <w:p w:rsidR="00B760F3" w:rsidRPr="00972F4D" w:rsidRDefault="00B760F3" w:rsidP="00D03C19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B760F3" w:rsidRPr="00972F4D" w:rsidTr="006E66DD"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1. Контроль подготовительных операций: сборка элементов конструкции изделия под сварку на прихватках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последовательности сборки элементов конструкции изделия</w:t>
            </w:r>
            <w:proofErr w:type="gramEnd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 под сварку 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технологической карты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правил техники безопасности при осуществлении подготовительных операций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Качество выполнения подготовительных операций по сварке</w:t>
            </w:r>
          </w:p>
        </w:tc>
      </w:tr>
      <w:tr w:rsidR="00B760F3" w:rsidRPr="00972F4D" w:rsidTr="00935748">
        <w:trPr>
          <w:trHeight w:val="361"/>
        </w:trPr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2. Контроль основных операций</w:t>
            </w:r>
          </w:p>
        </w:tc>
      </w:tr>
      <w:tr w:rsidR="00B760F3" w:rsidRPr="00972F4D" w:rsidTr="00D03C19">
        <w:trPr>
          <w:trHeight w:val="70"/>
        </w:trPr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выполнения сварки корневого шва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выполнение сварки облицовочного шва</w:t>
            </w:r>
          </w:p>
        </w:tc>
      </w:tr>
      <w:tr w:rsidR="00935748" w:rsidRPr="00972F4D" w:rsidTr="00FD5D0A">
        <w:tc>
          <w:tcPr>
            <w:tcW w:w="8613" w:type="dxa"/>
            <w:gridSpan w:val="2"/>
          </w:tcPr>
          <w:p w:rsidR="00935748" w:rsidRPr="00972F4D" w:rsidRDefault="00935748" w:rsidP="009357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Контроль готового изделия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требуемых параметров: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ширины шва;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высоты шва.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дефектов: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чешуйчатость;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подрезы;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трещина;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кратер;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свищ;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прожог;</w:t>
            </w:r>
          </w:p>
          <w:p w:rsidR="00B760F3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пора</w:t>
            </w:r>
            <w:proofErr w:type="gramEnd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 выходящая на поверхность.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</w:tr>
    </w:tbl>
    <w:p w:rsidR="002F5412" w:rsidRPr="002F5412" w:rsidRDefault="002F5412" w:rsidP="002F5412">
      <w:pPr>
        <w:autoSpaceDE w:val="0"/>
        <w:autoSpaceDN w:val="0"/>
        <w:adjustRightInd w:val="0"/>
        <w:spacing w:before="360"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A19" w:rsidRPr="008F7AFD" w:rsidRDefault="00FE2A19" w:rsidP="002F5412">
      <w:pPr>
        <w:numPr>
          <w:ilvl w:val="1"/>
          <w:numId w:val="1"/>
        </w:numPr>
        <w:autoSpaceDE w:val="0"/>
        <w:autoSpaceDN w:val="0"/>
        <w:adjustRightInd w:val="0"/>
        <w:spacing w:before="360"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Конкурса. Определяют общую оценку  пут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8F7AF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углового соединения отростка.</w:t>
      </w:r>
      <w:bookmarkStart w:id="4" w:name="_Toc428025037"/>
      <w:bookmarkStart w:id="5" w:name="_Toc428175040"/>
      <w:bookmarkStart w:id="6" w:name="_Toc428180880"/>
    </w:p>
    <w:p w:rsidR="00FE2A19" w:rsidRPr="0081552B" w:rsidRDefault="00FE2A19" w:rsidP="0081552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81552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FE2A19" w:rsidRPr="0034186C" w:rsidRDefault="00FE2A19" w:rsidP="0034186C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FE2A19" w:rsidRPr="00FE2A19" w:rsidRDefault="00FE2A19" w:rsidP="00FE2A19">
      <w:pPr>
        <w:ind w:left="1080" w:hanging="5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МАТЕРИАЛЬНАЯ БАЗА ДЛЯ ПРОВЕДЕНИЯ КОНКУРСА 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8F7AFD" w:rsidRDefault="00FE2A19" w:rsidP="00D0482D">
      <w:pPr>
        <w:keepNext/>
        <w:keepLines/>
        <w:autoSpaceDE w:val="0"/>
        <w:autoSpaceDN w:val="0"/>
        <w:adjustRightInd w:val="0"/>
        <w:spacing w:after="0"/>
        <w:ind w:firstLine="35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1) Сварочных постов для электродуговой сварки – 5.</w:t>
      </w:r>
    </w:p>
    <w:p w:rsidR="00FE2A19" w:rsidRPr="008F7AFD" w:rsidRDefault="00FE2A19" w:rsidP="00D0482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источники питания сварочной дуги: 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Форсаж</w:t>
      </w:r>
      <w:r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</w:t>
      </w: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;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722781" w:rsidRPr="008F7AFD">
        <w:rPr>
          <w:rFonts w:ascii="Times New Roman" w:eastAsia="Calibri" w:hAnsi="Times New Roman" w:cs="Times New Roman"/>
          <w:sz w:val="26"/>
          <w:szCs w:val="26"/>
        </w:rPr>
        <w:t>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Кедр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» с </w:t>
      </w:r>
      <w:r w:rsidR="00CE1B40">
        <w:rPr>
          <w:rFonts w:ascii="Times New Roman" w:eastAsia="Calibri" w:hAnsi="Times New Roman" w:cs="Times New Roman"/>
          <w:sz w:val="26"/>
          <w:szCs w:val="26"/>
        </w:rPr>
        <w:t>номинальным током 200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6843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Сборочно-сварочные приспособления. 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3) Инструменты: 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а) стальные щетки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б) шлифовальные машины – 5шт.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proofErr w:type="spellStart"/>
      <w:r w:rsidRPr="008F7AFD">
        <w:rPr>
          <w:rFonts w:ascii="Times New Roman" w:eastAsia="Calibri" w:hAnsi="Times New Roman" w:cs="Times New Roman"/>
          <w:sz w:val="26"/>
          <w:szCs w:val="26"/>
        </w:rPr>
        <w:t>молотки-шлакоотделители</w:t>
      </w:r>
      <w:proofErr w:type="spellEnd"/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г) стальные пластины для подбора сварочного тока.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4) Электроды типа Э50 марки 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LB</w:t>
      </w:r>
      <w:r w:rsidRPr="008F7AFD">
        <w:rPr>
          <w:rFonts w:ascii="Times New Roman" w:eastAsia="Calibri" w:hAnsi="Times New Roman" w:cs="Times New Roman"/>
          <w:sz w:val="26"/>
          <w:szCs w:val="26"/>
        </w:rPr>
        <w:t>-52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8F7A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FE2A19">
      <w:pPr>
        <w:rPr>
          <w:rFonts w:ascii="Times New Roman" w:hAnsi="Times New Roman" w:cs="Times New Roman"/>
          <w:sz w:val="26"/>
          <w:szCs w:val="26"/>
        </w:rPr>
      </w:pPr>
    </w:p>
    <w:sectPr w:rsidR="00FE2A19" w:rsidRPr="008F7AFD" w:rsidSect="006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115FB"/>
    <w:multiLevelType w:val="hybridMultilevel"/>
    <w:tmpl w:val="E8F2160E"/>
    <w:lvl w:ilvl="0" w:tplc="DBF85F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C5E05"/>
    <w:multiLevelType w:val="hybridMultilevel"/>
    <w:tmpl w:val="00BA6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72C806F0"/>
    <w:lvl w:ilvl="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21FD2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EB"/>
    <w:rsid w:val="00032478"/>
    <w:rsid w:val="00047828"/>
    <w:rsid w:val="0005478E"/>
    <w:rsid w:val="000C29DD"/>
    <w:rsid w:val="001117A2"/>
    <w:rsid w:val="0016413E"/>
    <w:rsid w:val="0016719E"/>
    <w:rsid w:val="00172DEB"/>
    <w:rsid w:val="001F0902"/>
    <w:rsid w:val="00221739"/>
    <w:rsid w:val="00292314"/>
    <w:rsid w:val="0029760E"/>
    <w:rsid w:val="00297943"/>
    <w:rsid w:val="002F5412"/>
    <w:rsid w:val="003054A5"/>
    <w:rsid w:val="0033197D"/>
    <w:rsid w:val="0034186C"/>
    <w:rsid w:val="003620E2"/>
    <w:rsid w:val="003928E4"/>
    <w:rsid w:val="003C1117"/>
    <w:rsid w:val="003D05D8"/>
    <w:rsid w:val="003E3DD4"/>
    <w:rsid w:val="00455C7C"/>
    <w:rsid w:val="004C185A"/>
    <w:rsid w:val="004E18E1"/>
    <w:rsid w:val="005114C2"/>
    <w:rsid w:val="005D3528"/>
    <w:rsid w:val="00620743"/>
    <w:rsid w:val="00645278"/>
    <w:rsid w:val="00680922"/>
    <w:rsid w:val="006843D1"/>
    <w:rsid w:val="00696374"/>
    <w:rsid w:val="00700E22"/>
    <w:rsid w:val="00714EA9"/>
    <w:rsid w:val="00722781"/>
    <w:rsid w:val="00756F87"/>
    <w:rsid w:val="007A6ABD"/>
    <w:rsid w:val="007D4D16"/>
    <w:rsid w:val="007E004D"/>
    <w:rsid w:val="00801011"/>
    <w:rsid w:val="0081552B"/>
    <w:rsid w:val="008462A5"/>
    <w:rsid w:val="008B024E"/>
    <w:rsid w:val="008C6290"/>
    <w:rsid w:val="008C7285"/>
    <w:rsid w:val="008F7AFD"/>
    <w:rsid w:val="00905A16"/>
    <w:rsid w:val="00935748"/>
    <w:rsid w:val="00972F4D"/>
    <w:rsid w:val="009C7B1B"/>
    <w:rsid w:val="009E11DF"/>
    <w:rsid w:val="009E1CD2"/>
    <w:rsid w:val="00A05587"/>
    <w:rsid w:val="00A519F5"/>
    <w:rsid w:val="00A56D5F"/>
    <w:rsid w:val="00A9372A"/>
    <w:rsid w:val="00B27610"/>
    <w:rsid w:val="00B3754E"/>
    <w:rsid w:val="00B760F3"/>
    <w:rsid w:val="00B85C87"/>
    <w:rsid w:val="00B87AB4"/>
    <w:rsid w:val="00BE7931"/>
    <w:rsid w:val="00BF2C7B"/>
    <w:rsid w:val="00C0691B"/>
    <w:rsid w:val="00C458C0"/>
    <w:rsid w:val="00C52C74"/>
    <w:rsid w:val="00C76CD1"/>
    <w:rsid w:val="00C86895"/>
    <w:rsid w:val="00CE1B40"/>
    <w:rsid w:val="00D0482D"/>
    <w:rsid w:val="00D10702"/>
    <w:rsid w:val="00D64DCF"/>
    <w:rsid w:val="00D67EDD"/>
    <w:rsid w:val="00E00E0E"/>
    <w:rsid w:val="00ED53B7"/>
    <w:rsid w:val="00ED6F81"/>
    <w:rsid w:val="00F463D1"/>
    <w:rsid w:val="00F71289"/>
    <w:rsid w:val="00F826EA"/>
    <w:rsid w:val="00F8669C"/>
    <w:rsid w:val="00FB4932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4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7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2</cp:revision>
  <cp:lastPrinted>2019-07-15T05:43:00Z</cp:lastPrinted>
  <dcterms:created xsi:type="dcterms:W3CDTF">2019-09-16T10:44:00Z</dcterms:created>
  <dcterms:modified xsi:type="dcterms:W3CDTF">2019-09-16T10:44:00Z</dcterms:modified>
</cp:coreProperties>
</file>