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FD2073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02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B4ogIAAFYFAAAOAAAAZHJzL2Uyb0RvYy54bWysVEtu2zAQ3RfoHQjua8mq3cRG5MBwkKJA&#10;kBhNiqxpiowEUCRL0pbcVYFuC/QIPUQ3RT85g3yjDilZCZKgi6Je0EPOzOPM0xseHdelQBtmbKFk&#10;ioeDGCMmqcoKeZPid1enLw4xso7IjAglWYq3zOLj2fNnR5WeskTlSmTMIACRdlrpFOfO6WkUWZqz&#10;ktiB0kyCkytTEgdbcxNlhlSAXoooieNXUaVMpo2izFo4PWmdeBbwOWfUXXBumUMixVCbC6sJ68qv&#10;0eyITG8M0XlBuzLIP1RRkkLCpT3UCXEErU3xCKosqFFWcTegqowU5wVloQfoZhg/6OYyJ5qFXoAc&#10;q3ua7P+DpeebpUFFluIEI0lK+ETN193H3ZfmV3O7+9R8a26bn7vPze/me/MDJZ6vStsppF3qpel2&#10;FkzffM1N6f+hLVQHjrc9x6x2iMLh+HAynhyMMaLgG76MR5Nk7FGju3RtrHvNVIm8kWIDHzFwSzZn&#10;1rWh+xDI8+W0BQTLbQXzNQj5lnFoDK5MQnaQFFsIgzYExEAoZdINW1dOMtYej2P4dfX0GaG6AOiR&#10;eSFEj90BeLk+xm5r7eJ9KguK7JPjvxXWJvcZ4WYlXZ9cFlKZpwAEdNXd3MbvSWqp8Sy5elVDiDdX&#10;KtuCAoxqR8NqeloA7WfEuiUxMAswNTDf7gIWLlSVYtVZGOXKfHjq3MeDRMGLUQWzlWL7fk0Mw0i8&#10;kSDeyXA08sMYNqPxQQIbc9+zuu+R63Kh4IsN4SXRNJg+3om9yY0qr+EZmPtbwUUkhbtTTJ3Zbxau&#10;nXl4SCibz0MYDKAm7kxeaurBPcFeVlf1NTG6054D2Z6r/RyS6QMJtrE+U6r52ileBH3e8dpRD8Mb&#10;NNQ9NP51uL8PUXfP4ewPAAAA//8DAFBLAwQUAAYACAAAACEAMB359N4AAAAKAQAADwAAAGRycy9k&#10;b3ducmV2LnhtbEyPwU7DMAyG70i8Q2QkblvaCra2NJ0QEkLigtj2AFlr2kLiVEm6Fp4ec2Iny/o/&#10;/f5c7RZrxBl9GBwpSNcJCKTGtQN1Co6H51UOIkRNrTaOUME3BtjV11eVLls30zue97ETXEKh1Ar6&#10;GMdSytD0aHVYuxGJsw/nrY68+k62Xs9cbo3MkmQjrR6IL/R6xKcem6/9ZBW49C2+Hua7iXD2L/nw&#10;2Zifba7U7c3y+AAi4hL/YfjTZ3Wo2enkJmqDMApWab5hlIN7ngwUSVGAOCnIsjQFWVfy8oX6FwAA&#10;//8DAFBLAQItABQABgAIAAAAIQC2gziS/gAAAOEBAAATAAAAAAAAAAAAAAAAAAAAAABbQ29udGVu&#10;dF9UeXBlc10ueG1sUEsBAi0AFAAGAAgAAAAhADj9If/WAAAAlAEAAAsAAAAAAAAAAAAAAAAALwEA&#10;AF9yZWxzLy5yZWxzUEsBAi0AFAAGAAgAAAAhAKiV4HiiAgAAVgUAAA4AAAAAAAAAAAAAAAAALgIA&#10;AGRycy9lMm9Eb2MueG1sUEsBAi0AFAAGAAgAAAAhADAd+fTeAAAACgEAAA8AAAAAAAAAAAAAAAAA&#10;/AQAAGRycy9kb3ducmV2LnhtbFBLBQYAAAAABAAEAPMAAAAHBgAAAAA=&#10;" fillcolor="#4f81bd [3204]" strokecolor="#243f60 [1604]" strokeweight="2pt"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7A6ABD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AF356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профессии-2019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33197D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«Сварка»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91B" w:rsidRPr="00FE2A19" w:rsidRDefault="00C0691B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p w:rsidR="00C0691B" w:rsidRDefault="00C0691B" w:rsidP="00FE2A19"/>
    <w:p w:rsidR="00FE2A19" w:rsidRDefault="00FE2A19" w:rsidP="00FE2A19"/>
    <w:p w:rsidR="00C0691B" w:rsidRDefault="00C0691B" w:rsidP="00C0691B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Общая характеристика заданий, </w:t>
      </w:r>
      <w:r w:rsidRPr="00B3753F">
        <w:rPr>
          <w:rFonts w:ascii="Cambria" w:eastAsia="Times New Roman" w:hAnsi="Cambria" w:cs="Times New Roman"/>
          <w:b/>
          <w:bCs/>
          <w:sz w:val="32"/>
          <w:szCs w:val="32"/>
        </w:rPr>
        <w:t xml:space="preserve">методик и критериев оценки испытаний 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>по компетенции</w:t>
      </w:r>
    </w:p>
    <w:p w:rsidR="00FE2A19" w:rsidRDefault="00FE2A19" w:rsidP="00C0691B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sz w:val="32"/>
          <w:szCs w:val="32"/>
        </w:rPr>
        <w:t>«Сварка»</w:t>
      </w: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C0691B" w:rsidRDefault="00C0691B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AF356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>Профессионально-педагогическим колледжем  федерального государственного бюджетного образовательного учреждения высшего образования «Саратовский  государственный технический университет имени Гагарина Ю.А.»</w:t>
      </w:r>
      <w:r w:rsidR="004C18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185A" w:rsidRPr="004C185A">
        <w:rPr>
          <w:rFonts w:ascii="Times New Roman" w:eastAsia="Calibri" w:hAnsi="Times New Roman" w:cs="Times New Roman"/>
          <w:sz w:val="24"/>
          <w:szCs w:val="24"/>
        </w:rPr>
        <w:t>ООО "Инжиниринговый Центр Сварка"</w:t>
      </w:r>
      <w:r w:rsidR="004C1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85A" w:rsidRPr="00FE2A19" w:rsidRDefault="004C185A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A19" w:rsidRPr="00FE2A19" w:rsidRDefault="00FE2A19" w:rsidP="00FE2A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E2A19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FE2A19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221739" w:rsidRPr="004C185A" w:rsidRDefault="00221739" w:rsidP="00221739">
      <w:pPr>
        <w:tabs>
          <w:tab w:val="left" w:pos="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91B">
        <w:rPr>
          <w:rFonts w:ascii="Times New Roman" w:eastAsia="Calibri" w:hAnsi="Times New Roman" w:cs="Times New Roman"/>
          <w:sz w:val="24"/>
          <w:szCs w:val="24"/>
        </w:rPr>
        <w:t>М.В. Антонов,  технический директор ООО "Инжиниринговый центр Сварка</w:t>
      </w:r>
      <w:r>
        <w:rPr>
          <w:rFonts w:ascii="Times New Roman" w:eastAsia="Calibri" w:hAnsi="Times New Roman" w:cs="Times New Roman"/>
          <w:sz w:val="24"/>
          <w:szCs w:val="24"/>
        </w:rPr>
        <w:t>», р</w:t>
      </w:r>
      <w:r w:rsidRPr="00C0691B">
        <w:rPr>
          <w:rFonts w:ascii="Times New Roman" w:eastAsia="Calibri" w:hAnsi="Times New Roman" w:cs="Times New Roman"/>
          <w:sz w:val="24"/>
          <w:szCs w:val="24"/>
        </w:rPr>
        <w:t>уководитель аттестационного пункта АЦ СВР по аттестации сварочного оборудования, технологий и сварочного персонала.</w:t>
      </w:r>
    </w:p>
    <w:p w:rsidR="00221739" w:rsidRPr="00C0691B" w:rsidRDefault="00221739" w:rsidP="00221739">
      <w:pPr>
        <w:keepNext/>
        <w:keepLine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 xml:space="preserve">В.И. </w:t>
      </w:r>
      <w:proofErr w:type="spellStart"/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>Ачадовский</w:t>
      </w:r>
      <w:proofErr w:type="spellEnd"/>
      <w:r w:rsidRPr="00C0691B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инженер ООО "ИЦС", преподаватель </w:t>
      </w:r>
      <w:r w:rsidRPr="00C0691B">
        <w:rPr>
          <w:rFonts w:ascii="Times New Roman" w:eastAsia="Calibri" w:hAnsi="Times New Roman" w:cs="Times New Roman"/>
        </w:rPr>
        <w:t>ППК СГТУ имени Гагарина Ю.А.</w:t>
      </w: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FE2A19" w:rsidRPr="008F7AFD" w:rsidRDefault="00FE2A19" w:rsidP="00FE2A19">
      <w:pP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8F7AF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Ручная дуговая сварка плавящимся покрытым электродом ответственных конструкций (изделие) из </w:t>
      </w:r>
      <w:r w:rsidRPr="008F7AFD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стали.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1" w:name="_Toc388003732"/>
      <w:bookmarkStart w:id="2" w:name="_Toc428172629"/>
      <w:bookmarkStart w:id="3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1"/>
      <w:bookmarkEnd w:id="2"/>
      <w:bookmarkEnd w:id="3"/>
    </w:p>
    <w:p w:rsidR="00FE2A19" w:rsidRPr="00D41AAF" w:rsidRDefault="004E18E1" w:rsidP="00FE2A1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 w:rsidR="009E1C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E1CD2"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и Профессионально-педагогический колледж СГТУ имени Гагарина Ю.А. 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>25-2</w:t>
      </w:r>
      <w:r w:rsidR="00F1613A">
        <w:rPr>
          <w:rFonts w:ascii="Times New Roman" w:eastAsia="Calibri" w:hAnsi="Times New Roman" w:cs="Times New Roman"/>
          <w:sz w:val="26"/>
          <w:szCs w:val="26"/>
        </w:rPr>
        <w:t>7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 xml:space="preserve"> сентября 201</w:t>
      </w:r>
      <w:r w:rsidR="00F1613A">
        <w:rPr>
          <w:rFonts w:ascii="Times New Roman" w:eastAsia="Calibri" w:hAnsi="Times New Roman" w:cs="Times New Roman"/>
          <w:sz w:val="26"/>
          <w:szCs w:val="26"/>
        </w:rPr>
        <w:t>9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 xml:space="preserve"> года проводят на базе </w:t>
      </w:r>
      <w:r w:rsidR="00AD7F63">
        <w:rPr>
          <w:rFonts w:ascii="Times New Roman" w:eastAsia="Calibri" w:hAnsi="Times New Roman" w:cs="Times New Roman"/>
          <w:sz w:val="26"/>
          <w:szCs w:val="26"/>
        </w:rPr>
        <w:t>ППК СГТУ имени Гагарина Ю.А.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 xml:space="preserve"> по адресу</w:t>
      </w:r>
      <w:r w:rsidR="00D41AAF">
        <w:rPr>
          <w:rFonts w:ascii="Times New Roman" w:eastAsia="Calibri" w:hAnsi="Times New Roman" w:cs="Times New Roman"/>
          <w:sz w:val="26"/>
          <w:szCs w:val="26"/>
        </w:rPr>
        <w:t>: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 xml:space="preserve"> г. Саратов, ул. Сакко и Ванцетти, д.15</w:t>
      </w:r>
      <w:r w:rsidR="00AD7F63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D41A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1AAF" w:rsidRPr="00D41AAF">
        <w:rPr>
          <w:rFonts w:ascii="Times New Roman" w:eastAsia="Times New Roman" w:hAnsi="Times New Roman" w:cs="Times New Roman"/>
          <w:sz w:val="26"/>
          <w:szCs w:val="26"/>
        </w:rPr>
        <w:t>ООО «Инжиниринговый центр Сварка»</w:t>
      </w:r>
      <w:r w:rsidR="00AD7F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63">
        <w:rPr>
          <w:rFonts w:ascii="Times New Roman" w:eastAsia="Calibri" w:hAnsi="Times New Roman" w:cs="Times New Roman"/>
          <w:sz w:val="26"/>
          <w:szCs w:val="26"/>
        </w:rPr>
        <w:t xml:space="preserve">по адресу: </w:t>
      </w:r>
      <w:r w:rsidR="00AD7F63" w:rsidRPr="00D41A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Саратов, Московское шоссе, д.14а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 xml:space="preserve"> финал областного конкурса профессионального</w:t>
      </w:r>
      <w:proofErr w:type="gramEnd"/>
      <w:r w:rsidR="00F826EA" w:rsidRPr="00F826EA">
        <w:rPr>
          <w:rFonts w:ascii="Times New Roman" w:eastAsia="Calibri" w:hAnsi="Times New Roman" w:cs="Times New Roman"/>
          <w:sz w:val="26"/>
          <w:szCs w:val="26"/>
        </w:rPr>
        <w:t xml:space="preserve"> мастерства «Лучший по профессии - 201</w:t>
      </w:r>
      <w:r w:rsidR="00F1613A">
        <w:rPr>
          <w:rFonts w:ascii="Times New Roman" w:eastAsia="Calibri" w:hAnsi="Times New Roman" w:cs="Times New Roman"/>
          <w:sz w:val="26"/>
          <w:szCs w:val="26"/>
        </w:rPr>
        <w:t>9</w:t>
      </w:r>
      <w:r w:rsidR="00F826EA" w:rsidRPr="00F826EA">
        <w:rPr>
          <w:rFonts w:ascii="Times New Roman" w:eastAsia="Calibri" w:hAnsi="Times New Roman" w:cs="Times New Roman"/>
          <w:sz w:val="26"/>
          <w:szCs w:val="26"/>
        </w:rPr>
        <w:t>»</w:t>
      </w:r>
      <w:r w:rsidR="00D41A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26EA" w:rsidRPr="00D41AAF">
        <w:rPr>
          <w:rFonts w:ascii="Times New Roman" w:eastAsia="Calibri" w:hAnsi="Times New Roman" w:cs="Times New Roman"/>
          <w:sz w:val="26"/>
          <w:szCs w:val="26"/>
        </w:rPr>
        <w:t xml:space="preserve">(далее - Конкурс) по компетенции </w:t>
      </w:r>
      <w:r w:rsidR="00FE2A19" w:rsidRPr="00D41AAF">
        <w:rPr>
          <w:rFonts w:ascii="Times New Roman" w:eastAsia="Calibri" w:hAnsi="Times New Roman" w:cs="Times New Roman"/>
          <w:sz w:val="26"/>
          <w:szCs w:val="26"/>
        </w:rPr>
        <w:t xml:space="preserve">«Сварка». </w:t>
      </w:r>
    </w:p>
    <w:p w:rsidR="00FE2A19" w:rsidRPr="008F7AFD" w:rsidRDefault="00FE2A19" w:rsidP="00FE2A19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F7AFD">
        <w:rPr>
          <w:rFonts w:ascii="Times New Roman" w:eastAsia="Calibri" w:hAnsi="Times New Roman" w:cs="Times New Roman"/>
          <w:b/>
          <w:sz w:val="26"/>
          <w:szCs w:val="26"/>
        </w:rPr>
        <w:t>Участники конкурса</w:t>
      </w:r>
    </w:p>
    <w:p w:rsidR="00FE2A19" w:rsidRPr="008F7AFD" w:rsidRDefault="00FE2A19" w:rsidP="00714EA9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В конкурсе участвуют электросварщики с опытом работы на предприятиях машиностроительной отрасли, владеющие сваркой трубных стыковых соединений.</w:t>
      </w:r>
    </w:p>
    <w:p w:rsidR="00FE2A19" w:rsidRPr="008F7AFD" w:rsidRDefault="00FE2A19" w:rsidP="00FE2A19">
      <w:pPr>
        <w:numPr>
          <w:ilvl w:val="1"/>
          <w:numId w:val="1"/>
        </w:numPr>
        <w:autoSpaceDE w:val="0"/>
        <w:autoSpaceDN w:val="0"/>
        <w:adjustRightInd w:val="0"/>
        <w:spacing w:before="240" w:after="240"/>
        <w:ind w:left="856" w:hanging="431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F7AF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Описание трудовых функций </w:t>
      </w:r>
    </w:p>
    <w:p w:rsidR="00FE2A19" w:rsidRPr="008F7AFD" w:rsidRDefault="00FE2A19" w:rsidP="00714EA9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Ручная дуговая сварка (наплавка, резка) плавящимся покрытым электродом (РД)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нагрузками.</w:t>
      </w:r>
      <w:proofErr w:type="gramEnd"/>
    </w:p>
    <w:p w:rsidR="000C29DD" w:rsidRPr="008F7AFD" w:rsidRDefault="000C29DD" w:rsidP="00FE2A19">
      <w:pPr>
        <w:autoSpaceDE w:val="0"/>
        <w:autoSpaceDN w:val="0"/>
        <w:adjustRightInd w:val="0"/>
        <w:spacing w:before="240" w:after="240"/>
        <w:ind w:left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A19" w:rsidRPr="00FE2A19" w:rsidRDefault="00FE2A19" w:rsidP="00FE2A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240" w:line="240" w:lineRule="auto"/>
        <w:ind w:left="357" w:hanging="35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ЗАДАНИЕ</w:t>
      </w:r>
    </w:p>
    <w:p w:rsidR="00FE2A19" w:rsidRPr="008F7AFD" w:rsidRDefault="00FE2A19" w:rsidP="00714EA9">
      <w:pPr>
        <w:keepNext/>
        <w:keepLines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конкурсных заданий соответствует требованиям профессионального стандарта «Сварщик»</w:t>
      </w: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8F7A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28 ноября 2013 г. N 701н). 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16413E" w:rsidRPr="00353877" w:rsidRDefault="0016413E" w:rsidP="0016413E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="002164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</w:t>
      </w:r>
      <w:r w:rsidR="00216412" w:rsidRPr="00AB09A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B09A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601B2A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16413E" w:rsidRDefault="0016413E" w:rsidP="0016413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13E" w:rsidRPr="00353877" w:rsidRDefault="0016413E" w:rsidP="0016413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Ма</w:t>
      </w:r>
      <w:r w:rsidR="00AF35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ксимальное количество баллов – </w:t>
      </w:r>
      <w:r w:rsidR="00AF356B" w:rsidRPr="00AB09A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B09A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баллов.</w:t>
      </w:r>
    </w:p>
    <w:p w:rsidR="00FE2A19" w:rsidRPr="008F7AFD" w:rsidRDefault="0016413E" w:rsidP="00164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выполнение сварочных работ</w:t>
      </w:r>
      <w:r w:rsidR="002164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16413E" w:rsidRDefault="00FE2A19" w:rsidP="00FE2A1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практическог</w:t>
      </w:r>
      <w:r w:rsidR="005114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задания 1час.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2A19" w:rsidRPr="008F7AFD" w:rsidRDefault="00FE2A19" w:rsidP="00FE2A1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AF3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ксимальное количество баллов – </w:t>
      </w:r>
      <w:r w:rsidR="00AF356B" w:rsidRPr="00AB09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B09A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баллов.</w:t>
      </w:r>
    </w:p>
    <w:p w:rsidR="00C52C74" w:rsidRDefault="00FE2A19" w:rsidP="008C6290">
      <w:pPr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ЗАДАЧА 2.1.</w:t>
      </w:r>
      <w:r w:rsidR="00C52C74">
        <w:rPr>
          <w:rFonts w:ascii="Times New Roman" w:eastAsia="Calibri" w:hAnsi="Times New Roman" w:cs="Times New Roman"/>
          <w:sz w:val="26"/>
          <w:szCs w:val="26"/>
        </w:rPr>
        <w:t>Выполнить сборку углового трубного соединения, состоящую из двух элементов: труба</w:t>
      </w:r>
      <w:r w:rsidR="009703AF">
        <w:rPr>
          <w:rFonts w:ascii="Times New Roman" w:eastAsia="Calibri" w:hAnsi="Times New Roman" w:cs="Times New Roman"/>
          <w:sz w:val="26"/>
          <w:szCs w:val="26"/>
        </w:rPr>
        <w:t xml:space="preserve">76х5мм, длина 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9703AF">
        <w:rPr>
          <w:rFonts w:ascii="Times New Roman" w:eastAsia="Calibri" w:hAnsi="Times New Roman" w:cs="Times New Roman"/>
          <w:sz w:val="26"/>
          <w:szCs w:val="26"/>
        </w:rPr>
        <w:t>мм,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 Ст20, лист 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6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C52C74">
        <w:rPr>
          <w:rFonts w:ascii="Times New Roman" w:eastAsia="Calibri" w:hAnsi="Times New Roman" w:cs="Times New Roman"/>
          <w:sz w:val="26"/>
          <w:szCs w:val="26"/>
        </w:rPr>
        <w:t>х</w:t>
      </w:r>
      <w:r w:rsidR="00C52C74"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9703AF">
        <w:rPr>
          <w:rFonts w:ascii="Times New Roman" w:eastAsia="Calibri" w:hAnsi="Times New Roman" w:cs="Times New Roman"/>
          <w:sz w:val="26"/>
          <w:szCs w:val="26"/>
        </w:rPr>
        <w:t>,</w:t>
      </w:r>
      <w:r w:rsidR="0016719E">
        <w:rPr>
          <w:rFonts w:ascii="Times New Roman" w:eastAsia="Calibri" w:hAnsi="Times New Roman" w:cs="Times New Roman"/>
          <w:sz w:val="26"/>
          <w:szCs w:val="26"/>
        </w:rPr>
        <w:t xml:space="preserve"> Ст20</w:t>
      </w:r>
      <w:r w:rsidR="00C52C74" w:rsidRPr="008F7AFD">
        <w:rPr>
          <w:rFonts w:ascii="Times New Roman" w:eastAsia="Calibri" w:hAnsi="Times New Roman" w:cs="Times New Roman"/>
          <w:sz w:val="26"/>
          <w:szCs w:val="26"/>
        </w:rPr>
        <w:t xml:space="preserve"> соблюдением последовательности выполнения сварочных работ.</w:t>
      </w:r>
    </w:p>
    <w:p w:rsidR="00C52C74" w:rsidRDefault="00C52C74" w:rsidP="00C52C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F7AF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16719E" w:rsidRPr="00F463D1" w:rsidRDefault="0016719E" w:rsidP="00F463D1">
      <w:pPr>
        <w:pStyle w:val="a4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 выполнения задачи 2.1 участник использует чертеж углового трубного соединения и технологическую карту  (предоставляются организатором  Конкурса в момент проведения испытаний);</w:t>
      </w:r>
    </w:p>
    <w:p w:rsidR="00F463D1" w:rsidRPr="00F463D1" w:rsidRDefault="00F463D1" w:rsidP="00F463D1">
      <w:pPr>
        <w:pStyle w:val="a4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задачи выполняются на оборудовании: сварочные посты для электродуговой сварки, источники питания сварочной дуги: инверторы типа «</w:t>
      </w:r>
      <w:proofErr w:type="spellStart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Форсаж</w:t>
      </w:r>
      <w:proofErr w:type="spellEnd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с номинальным током 160</w:t>
      </w:r>
      <w:proofErr w:type="gramStart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инверторы типа </w:t>
      </w:r>
      <w:r w:rsidR="009703A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«Кедр» с номинальным током </w:t>
      </w:r>
      <w:r w:rsidR="009703AF" w:rsidRPr="00F027E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200</w:t>
      </w:r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16719E" w:rsidRPr="0016719E" w:rsidRDefault="00F463D1" w:rsidP="0016719E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для выполнения  задания  участнику пр</w:t>
      </w:r>
      <w:r w:rsidR="00BE79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едоставляется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заготовка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;с</w:t>
      </w:r>
      <w:proofErr w:type="gramEnd"/>
      <w:r w:rsidRPr="00F463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борочно-сварочные приспособления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электроды</w:t>
      </w:r>
      <w:r w:rsidR="0016719E" w:rsidRPr="00167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(см. п. 5 Материальная база для проведения конкурса)</w:t>
      </w:r>
      <w:r w:rsidR="00BE79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C52C74" w:rsidRDefault="00A519F5" w:rsidP="007227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52C74" w:rsidRPr="008F7AFD">
        <w:rPr>
          <w:rFonts w:ascii="Times New Roman" w:eastAsia="Calibri" w:hAnsi="Times New Roman" w:cs="Times New Roman"/>
          <w:sz w:val="26"/>
          <w:szCs w:val="26"/>
        </w:rPr>
        <w:t>прихватки элементов выполняются с соблюдением соответствующего зазора</w:t>
      </w:r>
      <w:r w:rsidR="00C52C7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2781" w:rsidRDefault="00A519F5" w:rsidP="007227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722781">
        <w:rPr>
          <w:rFonts w:ascii="Times New Roman" w:eastAsia="Calibri" w:hAnsi="Times New Roman" w:cs="Times New Roman"/>
          <w:sz w:val="26"/>
          <w:szCs w:val="26"/>
        </w:rPr>
        <w:t>п</w:t>
      </w:r>
      <w:r w:rsidR="00C52C74">
        <w:rPr>
          <w:rFonts w:ascii="Times New Roman" w:eastAsia="Calibri" w:hAnsi="Times New Roman" w:cs="Times New Roman"/>
          <w:sz w:val="26"/>
          <w:szCs w:val="26"/>
        </w:rPr>
        <w:t>рихватки проставляются на режимах</w:t>
      </w:r>
      <w:r w:rsidR="009703AF">
        <w:rPr>
          <w:rFonts w:ascii="Times New Roman" w:eastAsia="Calibri" w:hAnsi="Times New Roman" w:cs="Times New Roman"/>
          <w:sz w:val="26"/>
          <w:szCs w:val="26"/>
        </w:rPr>
        <w:t xml:space="preserve"> корневого слоя, электродами </w:t>
      </w:r>
      <w:r w:rsidR="00C52C74">
        <w:rPr>
          <w:rFonts w:ascii="Times New Roman" w:eastAsia="Calibri" w:hAnsi="Times New Roman" w:cs="Times New Roman"/>
          <w:sz w:val="26"/>
          <w:szCs w:val="26"/>
        </w:rPr>
        <w:t xml:space="preserve"> для корневого слоя</w:t>
      </w:r>
      <w:r w:rsidR="0072278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22781" w:rsidRDefault="00A519F5" w:rsidP="00722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</w:t>
      </w:r>
      <w:r w:rsidR="00722781" w:rsidRPr="008F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необходимо 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произвести контроль</w:t>
      </w:r>
      <w:r w:rsidR="00722781">
        <w:rPr>
          <w:rFonts w:ascii="Times New Roman" w:eastAsia="Calibri" w:hAnsi="Times New Roman" w:cs="Times New Roman"/>
          <w:sz w:val="26"/>
          <w:szCs w:val="26"/>
        </w:rPr>
        <w:t xml:space="preserve"> сборки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 xml:space="preserve"> сваренного изделия внешним осмотром</w:t>
      </w:r>
      <w:r w:rsidR="00E8738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E87385">
        <w:rPr>
          <w:rFonts w:ascii="Times New Roman" w:eastAsia="Calibri" w:hAnsi="Times New Roman" w:cs="Times New Roman"/>
          <w:sz w:val="26"/>
          <w:szCs w:val="26"/>
        </w:rPr>
        <w:t>течеискани</w:t>
      </w:r>
      <w:r w:rsidR="0047779F">
        <w:rPr>
          <w:rFonts w:ascii="Times New Roman" w:eastAsia="Calibri" w:hAnsi="Times New Roman" w:cs="Times New Roman"/>
          <w:sz w:val="26"/>
          <w:szCs w:val="26"/>
        </w:rPr>
        <w:t>е</w:t>
      </w:r>
      <w:r w:rsidR="00E87385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7227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781" w:rsidRDefault="00722781" w:rsidP="007227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2781" w:rsidRDefault="00722781" w:rsidP="00722781">
      <w:pPr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ЗАДАЧА 2.2.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Выполнить сварку углового трубного соединения,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состоящую из двух элементов: труба </w:t>
      </w:r>
      <w:r w:rsidRPr="00C52C7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76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Ст20, лист </w:t>
      </w:r>
      <w:r w:rsidRPr="00C52C74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C52C74">
        <w:rPr>
          <w:rFonts w:ascii="Times New Roman" w:eastAsia="Calibri" w:hAnsi="Times New Roman" w:cs="Times New Roman"/>
          <w:sz w:val="26"/>
          <w:szCs w:val="26"/>
        </w:rPr>
        <w:t>150</w:t>
      </w:r>
      <w:r w:rsidR="000267C2">
        <w:rPr>
          <w:rFonts w:ascii="Times New Roman" w:eastAsia="Calibri" w:hAnsi="Times New Roman" w:cs="Times New Roman"/>
          <w:sz w:val="26"/>
          <w:szCs w:val="26"/>
        </w:rPr>
        <w:t xml:space="preserve"> Ст20 </w:t>
      </w:r>
      <w:r w:rsidRPr="008F7AFD">
        <w:rPr>
          <w:rFonts w:ascii="Times New Roman" w:eastAsia="Calibri" w:hAnsi="Times New Roman" w:cs="Times New Roman"/>
          <w:sz w:val="26"/>
          <w:szCs w:val="26"/>
        </w:rPr>
        <w:t>с соблюдением последовательности выполнения сварочных работ.</w:t>
      </w:r>
    </w:p>
    <w:p w:rsidR="00FE2A19" w:rsidRPr="008F7AFD" w:rsidRDefault="00FE2A19" w:rsidP="00FE2A1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F7AF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сварка выполняется в 2 слоя (корневой и облицовочный </w:t>
      </w:r>
      <w:r w:rsidR="00722781">
        <w:rPr>
          <w:rFonts w:ascii="Times New Roman" w:eastAsia="Calibri" w:hAnsi="Times New Roman" w:cs="Times New Roman"/>
          <w:sz w:val="26"/>
          <w:szCs w:val="26"/>
        </w:rPr>
        <w:t>слои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) сварка выполняется в неповоротном положении;</w:t>
      </w:r>
    </w:p>
    <w:p w:rsidR="00FE2A19" w:rsidRPr="008F7AFD" w:rsidRDefault="003928E4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 xml:space="preserve">произвести зачистку сварных швов; </w:t>
      </w:r>
    </w:p>
    <w:p w:rsidR="00FE2A19" w:rsidRPr="008F7AFD" w:rsidRDefault="003928E4" w:rsidP="00FE2A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FE2A19" w:rsidRPr="008F7AFD">
        <w:rPr>
          <w:rFonts w:ascii="Times New Roman" w:eastAsia="Calibri" w:hAnsi="Times New Roman" w:cs="Times New Roman"/>
          <w:sz w:val="26"/>
          <w:szCs w:val="26"/>
        </w:rPr>
        <w:t>произвести контроль сваренного изделия внешним осмотром</w:t>
      </w:r>
      <w:r w:rsidR="007227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781" w:rsidRDefault="00722781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sz w:val="26"/>
          <w:szCs w:val="26"/>
        </w:rPr>
        <w:t>* ВНИМАНИЕ!</w:t>
      </w: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К выполнению практического здания допускаются участники при наличии сварочного костюма, рукавиц, сварочной маски.</w:t>
      </w:r>
    </w:p>
    <w:p w:rsidR="00FE2A19" w:rsidRPr="00722781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При изменении сварщиком пространственного положения стыка после начала сварки участник отстраняется от выполнения конкурсного испытания.</w:t>
      </w:r>
    </w:p>
    <w:p w:rsidR="00FE2A19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22781">
        <w:rPr>
          <w:rFonts w:ascii="Times New Roman" w:eastAsia="Calibri" w:hAnsi="Times New Roman" w:cs="Times New Roman"/>
          <w:b/>
          <w:i/>
          <w:sz w:val="26"/>
          <w:szCs w:val="26"/>
        </w:rPr>
        <w:t>При нарушении техники безопасности в процессе выполнения сварочных работ участник отстраняется от выполнения конкурсного испытания.</w:t>
      </w:r>
    </w:p>
    <w:p w:rsidR="00E00E0E" w:rsidRPr="00722781" w:rsidRDefault="00E00E0E" w:rsidP="00FE2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E2A19" w:rsidRPr="008F7AFD" w:rsidRDefault="00FE2A19" w:rsidP="00FE2A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A19" w:rsidRPr="00FE2A19" w:rsidRDefault="00FE2A19" w:rsidP="00FE2A19">
      <w:pPr>
        <w:numPr>
          <w:ilvl w:val="0"/>
          <w:numId w:val="1"/>
        </w:numPr>
        <w:spacing w:after="240"/>
        <w:ind w:left="357" w:hanging="357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lastRenderedPageBreak/>
        <w:t>МЕТОДИКА И КРИТЕРИИ ОЦЕНКИ</w:t>
      </w:r>
    </w:p>
    <w:p w:rsidR="00B3754E" w:rsidRPr="00F7715A" w:rsidRDefault="00B3754E" w:rsidP="00B3754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E00E0E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 w:rsidR="0029760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АСТ-тест. По </w:t>
      </w:r>
      <w:r w:rsidR="0029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завершении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задания, программа АСТ-тест выдает анализ результ</w:t>
      </w:r>
      <w:r w:rsidR="00B85C8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атов выполнения задания каждым у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частником.</w:t>
      </w:r>
    </w:p>
    <w:p w:rsidR="00B3754E" w:rsidRPr="00F7715A" w:rsidRDefault="00B3754E" w:rsidP="00B3754E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B3754E" w:rsidRPr="00F7715A" w:rsidRDefault="00B3754E" w:rsidP="00B3754E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требованиям работодателей;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базироваться на компетенциях участников, реально продемонстрированных в моделируемых профессиональных ситуациях в ходе выполнения конкурсных испытаний;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- адекватности оценки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–</w:t>
      </w:r>
      <w:r w:rsidR="00B85C87" w:rsidRPr="00B85C87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B85C87" w:rsidRPr="00B85C87">
        <w:rPr>
          <w:rFonts w:ascii="Times New Roman" w:eastAsia="Calibri" w:hAnsi="Times New Roman" w:cs="Times New Roman"/>
          <w:sz w:val="26"/>
          <w:szCs w:val="26"/>
        </w:rPr>
        <w:t>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B760F3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B760F3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B3754E" w:rsidRPr="00F7715A" w:rsidRDefault="00B3754E" w:rsidP="00B3754E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754E" w:rsidRPr="00F7715A" w:rsidRDefault="00B3754E" w:rsidP="00B3754E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754E" w:rsidRDefault="00B3754E" w:rsidP="00B3754E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Оценка за теоретическое задание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определяется простым суммированием баллов за правильные ответы на вопросы. 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зависимости от типа вопроса ответ считается правильным, если: 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закрытой формы с выбором ответа  выбран правильный ответ;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открытой формы дан правильный ответ;</w:t>
      </w:r>
    </w:p>
    <w:p w:rsidR="00B3754E" w:rsidRPr="00F7715A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B3754E" w:rsidRDefault="00B3754E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при ответе на вопрос  на установление соответствия, если сопоставление 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произведено</w:t>
      </w:r>
      <w:proofErr w:type="gramEnd"/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 верно для всех пар.</w:t>
      </w:r>
    </w:p>
    <w:p w:rsidR="00905A16" w:rsidRDefault="00905A16" w:rsidP="00B3754E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54E" w:rsidRDefault="00B3754E" w:rsidP="00B3754E">
      <w:pPr>
        <w:pStyle w:val="a4"/>
        <w:numPr>
          <w:ilvl w:val="1"/>
          <w:numId w:val="1"/>
        </w:numPr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tbl>
      <w:tblPr>
        <w:tblStyle w:val="3"/>
        <w:tblW w:w="8613" w:type="dxa"/>
        <w:tblLook w:val="04A0"/>
      </w:tblPr>
      <w:tblGrid>
        <w:gridCol w:w="1101"/>
        <w:gridCol w:w="7512"/>
      </w:tblGrid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/п </w:t>
            </w:r>
          </w:p>
        </w:tc>
        <w:tc>
          <w:tcPr>
            <w:tcW w:w="7512" w:type="dxa"/>
          </w:tcPr>
          <w:p w:rsidR="00B760F3" w:rsidRPr="00972F4D" w:rsidRDefault="00B760F3" w:rsidP="00D03C19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B760F3" w:rsidRPr="00972F4D" w:rsidTr="006E66DD">
        <w:tc>
          <w:tcPr>
            <w:tcW w:w="8613" w:type="dxa"/>
            <w:gridSpan w:val="2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1. Контроль подготовительных операций: сборка элементов конструкции изделия под сварку на прихватках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последовательности сборки элементов конструкции изделия</w:t>
            </w:r>
            <w:proofErr w:type="gramEnd"/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 под сварку 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технологической карты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72F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Соблюдение правил техники безопасности при осуществлении подготовительных операций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72F4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Качество выполнения подготовительных операций по сварке</w:t>
            </w:r>
          </w:p>
        </w:tc>
      </w:tr>
      <w:tr w:rsidR="00B760F3" w:rsidRPr="00972F4D" w:rsidTr="00935748">
        <w:trPr>
          <w:trHeight w:val="361"/>
        </w:trPr>
        <w:tc>
          <w:tcPr>
            <w:tcW w:w="8613" w:type="dxa"/>
            <w:gridSpan w:val="2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2. Контроль основных операций</w:t>
            </w:r>
          </w:p>
        </w:tc>
      </w:tr>
      <w:tr w:rsidR="00B760F3" w:rsidRPr="00972F4D" w:rsidTr="00D03C19">
        <w:trPr>
          <w:trHeight w:val="70"/>
        </w:trPr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B760F3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Качество выполнения сварки корневого шва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B760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935748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Качество выполнение сварки облицовочного шва</w:t>
            </w:r>
          </w:p>
        </w:tc>
      </w:tr>
      <w:tr w:rsidR="00935748" w:rsidRPr="00972F4D" w:rsidTr="00FD5D0A">
        <w:tc>
          <w:tcPr>
            <w:tcW w:w="8613" w:type="dxa"/>
            <w:gridSpan w:val="2"/>
          </w:tcPr>
          <w:p w:rsidR="00935748" w:rsidRPr="00972F4D" w:rsidRDefault="00935748" w:rsidP="009357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Контроль готового изделия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935748">
            <w:pPr>
              <w:pStyle w:val="a4"/>
              <w:numPr>
                <w:ilvl w:val="0"/>
                <w:numId w:val="9"/>
              </w:num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требуемых параметров: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ширины шва;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высоты шва.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дефектов: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чешуйчатость;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подрезы; 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трещина;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кратер;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свищ;</w:t>
            </w:r>
          </w:p>
          <w:p w:rsidR="00935748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прожог;</w:t>
            </w:r>
          </w:p>
          <w:p w:rsidR="00B760F3" w:rsidRPr="00972F4D" w:rsidRDefault="00935748" w:rsidP="009357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пора</w:t>
            </w:r>
            <w:proofErr w:type="gramEnd"/>
            <w:r w:rsidRPr="00972F4D">
              <w:rPr>
                <w:rFonts w:ascii="Times New Roman" w:hAnsi="Times New Roman" w:cs="Times New Roman"/>
                <w:sz w:val="26"/>
                <w:szCs w:val="26"/>
              </w:rPr>
              <w:t xml:space="preserve"> выходящая на поверхность.</w:t>
            </w:r>
          </w:p>
        </w:tc>
      </w:tr>
      <w:tr w:rsidR="00B760F3" w:rsidRPr="00972F4D" w:rsidTr="00D03C19">
        <w:tc>
          <w:tcPr>
            <w:tcW w:w="1101" w:type="dxa"/>
          </w:tcPr>
          <w:p w:rsidR="00B760F3" w:rsidRPr="00972F4D" w:rsidRDefault="00B760F3" w:rsidP="00935748">
            <w:pPr>
              <w:pStyle w:val="a4"/>
              <w:numPr>
                <w:ilvl w:val="0"/>
                <w:numId w:val="9"/>
              </w:num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B760F3" w:rsidRPr="00972F4D" w:rsidRDefault="00935748" w:rsidP="00D03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F4D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</w:tr>
    </w:tbl>
    <w:p w:rsidR="002F5412" w:rsidRPr="002F5412" w:rsidRDefault="002F5412" w:rsidP="002F5412">
      <w:pPr>
        <w:autoSpaceDE w:val="0"/>
        <w:autoSpaceDN w:val="0"/>
        <w:adjustRightInd w:val="0"/>
        <w:spacing w:before="360"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E2A19" w:rsidRPr="008F7AFD" w:rsidRDefault="00FE2A19" w:rsidP="002F5412">
      <w:pPr>
        <w:numPr>
          <w:ilvl w:val="1"/>
          <w:numId w:val="1"/>
        </w:numPr>
        <w:autoSpaceDE w:val="0"/>
        <w:autoSpaceDN w:val="0"/>
        <w:adjustRightInd w:val="0"/>
        <w:spacing w:before="360"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</w:t>
      </w:r>
      <w:proofErr w:type="gramStart"/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Конкурса. Определяют общую оценку  пут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8F7AFD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2F5412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2A19" w:rsidRPr="008F7AFD" w:rsidRDefault="00FE2A19" w:rsidP="00FE2A19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углового соединения отростка.</w:t>
      </w:r>
      <w:bookmarkStart w:id="4" w:name="_Toc428025037"/>
      <w:bookmarkStart w:id="5" w:name="_Toc428175040"/>
      <w:bookmarkStart w:id="6" w:name="_Toc428180880"/>
    </w:p>
    <w:p w:rsidR="00FE2A19" w:rsidRPr="0081552B" w:rsidRDefault="00FE2A19" w:rsidP="0081552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81552B"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FE2A19" w:rsidRPr="0034186C" w:rsidRDefault="00FE2A19" w:rsidP="0034186C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причине не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работоспособности 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FE2A19" w:rsidRPr="008F7AFD" w:rsidRDefault="00FE2A19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FE2A19" w:rsidRPr="008F7AFD" w:rsidRDefault="00FE2A19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</w:t>
      </w:r>
      <w:r w:rsidR="00D048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обавляется на время 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FE2A19" w:rsidRPr="008F7AFD" w:rsidRDefault="00D0482D" w:rsidP="0081552B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у</w:t>
      </w:r>
      <w:r w:rsidR="00FE2A19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FE2A19" w:rsidRPr="00FE2A19" w:rsidRDefault="00FE2A19" w:rsidP="00FE2A19">
      <w:pPr>
        <w:ind w:left="1080" w:hanging="5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A19" w:rsidRPr="00FE2A19" w:rsidRDefault="00FE2A19" w:rsidP="00FE2A1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МАТЕРИАЛЬНАЯ БАЗА ДЛЯ ПРОВЕДЕНИЯ КОНКУРСА 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E2A19" w:rsidRPr="008F7AFD" w:rsidRDefault="00FE2A19" w:rsidP="00D0482D">
      <w:pPr>
        <w:keepNext/>
        <w:keepLines/>
        <w:autoSpaceDE w:val="0"/>
        <w:autoSpaceDN w:val="0"/>
        <w:adjustRightInd w:val="0"/>
        <w:spacing w:after="0"/>
        <w:ind w:firstLine="357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1) Сварочных постов для электродуговой сварки – 5.</w:t>
      </w:r>
    </w:p>
    <w:p w:rsidR="00FE2A19" w:rsidRPr="008F7AFD" w:rsidRDefault="00FE2A19" w:rsidP="00D0482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источники питания сварочной дуги: инверторы типа «</w:t>
      </w:r>
      <w:r w:rsidR="00722781">
        <w:rPr>
          <w:rFonts w:ascii="Times New Roman" w:eastAsia="Calibri" w:hAnsi="Times New Roman" w:cs="Times New Roman"/>
          <w:sz w:val="26"/>
          <w:szCs w:val="26"/>
        </w:rPr>
        <w:t>Форсаж</w:t>
      </w:r>
      <w:r w:rsidRPr="008F7AFD">
        <w:rPr>
          <w:rFonts w:ascii="Times New Roman" w:eastAsia="Calibri" w:hAnsi="Times New Roman" w:cs="Times New Roman"/>
          <w:sz w:val="26"/>
          <w:szCs w:val="26"/>
        </w:rPr>
        <w:t>» с номинальным током 160 А</w:t>
      </w:r>
      <w:proofErr w:type="gramStart"/>
      <w:r w:rsidRPr="008F7AFD">
        <w:rPr>
          <w:rFonts w:ascii="Times New Roman" w:eastAsia="Calibri" w:hAnsi="Times New Roman" w:cs="Times New Roman"/>
          <w:sz w:val="26"/>
          <w:szCs w:val="26"/>
        </w:rPr>
        <w:t>;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722781" w:rsidRPr="008F7AFD">
        <w:rPr>
          <w:rFonts w:ascii="Times New Roman" w:eastAsia="Calibri" w:hAnsi="Times New Roman" w:cs="Times New Roman"/>
          <w:sz w:val="26"/>
          <w:szCs w:val="26"/>
        </w:rPr>
        <w:t>нверторы типа «</w:t>
      </w:r>
      <w:r w:rsidR="00722781">
        <w:rPr>
          <w:rFonts w:ascii="Times New Roman" w:eastAsia="Calibri" w:hAnsi="Times New Roman" w:cs="Times New Roman"/>
          <w:sz w:val="26"/>
          <w:szCs w:val="26"/>
        </w:rPr>
        <w:t>Кедр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 xml:space="preserve">» с </w:t>
      </w:r>
      <w:r w:rsidR="00AF356B">
        <w:rPr>
          <w:rFonts w:ascii="Times New Roman" w:eastAsia="Calibri" w:hAnsi="Times New Roman" w:cs="Times New Roman"/>
          <w:sz w:val="26"/>
          <w:szCs w:val="26"/>
        </w:rPr>
        <w:t>номинальным током 200</w:t>
      </w:r>
      <w:r w:rsidR="00722781" w:rsidRPr="008F7AFD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AF35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2) Сборочно-сварочные приспособления. 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3) Инструменты: 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а) стальные щетки – 5 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б) шлифовальные машины – 5шт.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proofErr w:type="spellStart"/>
      <w:r w:rsidRPr="008F7AFD">
        <w:rPr>
          <w:rFonts w:ascii="Times New Roman" w:eastAsia="Calibri" w:hAnsi="Times New Roman" w:cs="Times New Roman"/>
          <w:sz w:val="26"/>
          <w:szCs w:val="26"/>
        </w:rPr>
        <w:t>молотки-шлакоотделители</w:t>
      </w:r>
      <w:proofErr w:type="spellEnd"/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 – 5 шт.</w:t>
      </w:r>
    </w:p>
    <w:p w:rsidR="00FE2A19" w:rsidRPr="008F7AFD" w:rsidRDefault="00FE2A19" w:rsidP="00D048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г) стальные пластины для подбора сварочного тока.</w:t>
      </w:r>
    </w:p>
    <w:p w:rsidR="00FE2A19" w:rsidRPr="008F7AFD" w:rsidRDefault="00FE2A19" w:rsidP="00D0482D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 xml:space="preserve">4) Электроды типа Э50 марки </w:t>
      </w:r>
      <w:r w:rsidRPr="008F7AFD">
        <w:rPr>
          <w:rFonts w:ascii="Times New Roman" w:eastAsia="Calibri" w:hAnsi="Times New Roman" w:cs="Times New Roman"/>
          <w:sz w:val="26"/>
          <w:szCs w:val="26"/>
          <w:lang w:val="en-US"/>
        </w:rPr>
        <w:t>LB</w:t>
      </w:r>
      <w:r w:rsidRPr="008F7AFD">
        <w:rPr>
          <w:rFonts w:ascii="Times New Roman" w:eastAsia="Calibri" w:hAnsi="Times New Roman" w:cs="Times New Roman"/>
          <w:sz w:val="26"/>
          <w:szCs w:val="26"/>
        </w:rPr>
        <w:t>-52</w:t>
      </w:r>
      <w:r w:rsidRPr="008F7AFD">
        <w:rPr>
          <w:rFonts w:ascii="Times New Roman" w:eastAsia="Calibri" w:hAnsi="Times New Roman" w:cs="Times New Roman"/>
          <w:sz w:val="26"/>
          <w:szCs w:val="26"/>
          <w:lang w:val="en-US"/>
        </w:rPr>
        <w:t>U</w:t>
      </w:r>
      <w:r w:rsidRPr="008F7A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2A19" w:rsidRPr="008F7AFD" w:rsidRDefault="00FE2A19" w:rsidP="00FE2A19">
      <w:pPr>
        <w:rPr>
          <w:rFonts w:ascii="Times New Roman" w:hAnsi="Times New Roman" w:cs="Times New Roman"/>
          <w:sz w:val="26"/>
          <w:szCs w:val="26"/>
        </w:rPr>
      </w:pPr>
    </w:p>
    <w:sectPr w:rsidR="00FE2A19" w:rsidRPr="008F7AFD" w:rsidSect="0062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4115FB"/>
    <w:multiLevelType w:val="hybridMultilevel"/>
    <w:tmpl w:val="E8F2160E"/>
    <w:lvl w:ilvl="0" w:tplc="DBF85F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9C5E05"/>
    <w:multiLevelType w:val="hybridMultilevel"/>
    <w:tmpl w:val="00BA6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03F157E"/>
    <w:multiLevelType w:val="hybridMultilevel"/>
    <w:tmpl w:val="8A5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43D7"/>
    <w:multiLevelType w:val="multilevel"/>
    <w:tmpl w:val="72C806F0"/>
    <w:lvl w:ilvl="0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121FD2"/>
    <w:multiLevelType w:val="hybridMultilevel"/>
    <w:tmpl w:val="36F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EB"/>
    <w:rsid w:val="00016EEC"/>
    <w:rsid w:val="000267C2"/>
    <w:rsid w:val="0005478E"/>
    <w:rsid w:val="000C29DD"/>
    <w:rsid w:val="0016413E"/>
    <w:rsid w:val="0016719E"/>
    <w:rsid w:val="00172DEB"/>
    <w:rsid w:val="001B3124"/>
    <w:rsid w:val="001D35C4"/>
    <w:rsid w:val="001F0902"/>
    <w:rsid w:val="00216412"/>
    <w:rsid w:val="00221739"/>
    <w:rsid w:val="0026744A"/>
    <w:rsid w:val="0029760E"/>
    <w:rsid w:val="00297943"/>
    <w:rsid w:val="002F5412"/>
    <w:rsid w:val="003054A5"/>
    <w:rsid w:val="0031245E"/>
    <w:rsid w:val="0033197D"/>
    <w:rsid w:val="0034186C"/>
    <w:rsid w:val="003928E4"/>
    <w:rsid w:val="003C1117"/>
    <w:rsid w:val="004338A8"/>
    <w:rsid w:val="00441731"/>
    <w:rsid w:val="0047779F"/>
    <w:rsid w:val="004C185A"/>
    <w:rsid w:val="004D21DC"/>
    <w:rsid w:val="004E18E1"/>
    <w:rsid w:val="005114C2"/>
    <w:rsid w:val="0057019C"/>
    <w:rsid w:val="00620743"/>
    <w:rsid w:val="00680922"/>
    <w:rsid w:val="00696374"/>
    <w:rsid w:val="00714EA9"/>
    <w:rsid w:val="00722781"/>
    <w:rsid w:val="00756F87"/>
    <w:rsid w:val="007A6ABD"/>
    <w:rsid w:val="0081552B"/>
    <w:rsid w:val="008B024E"/>
    <w:rsid w:val="008C6290"/>
    <w:rsid w:val="008F7AFD"/>
    <w:rsid w:val="00905A16"/>
    <w:rsid w:val="00935748"/>
    <w:rsid w:val="009703AF"/>
    <w:rsid w:val="00972F4D"/>
    <w:rsid w:val="009E1CD2"/>
    <w:rsid w:val="009E2458"/>
    <w:rsid w:val="00A05587"/>
    <w:rsid w:val="00A519F5"/>
    <w:rsid w:val="00A56D5F"/>
    <w:rsid w:val="00A9372A"/>
    <w:rsid w:val="00AB09A3"/>
    <w:rsid w:val="00AC336E"/>
    <w:rsid w:val="00AD7F63"/>
    <w:rsid w:val="00AF356B"/>
    <w:rsid w:val="00B3754E"/>
    <w:rsid w:val="00B760F3"/>
    <w:rsid w:val="00B85C87"/>
    <w:rsid w:val="00BE7931"/>
    <w:rsid w:val="00C0691B"/>
    <w:rsid w:val="00C427ED"/>
    <w:rsid w:val="00C52C74"/>
    <w:rsid w:val="00C86895"/>
    <w:rsid w:val="00CE4F21"/>
    <w:rsid w:val="00D0482D"/>
    <w:rsid w:val="00D41AAF"/>
    <w:rsid w:val="00D64DCF"/>
    <w:rsid w:val="00E00E0E"/>
    <w:rsid w:val="00E87385"/>
    <w:rsid w:val="00E87C84"/>
    <w:rsid w:val="00F027E5"/>
    <w:rsid w:val="00F1613A"/>
    <w:rsid w:val="00F463D1"/>
    <w:rsid w:val="00F655E7"/>
    <w:rsid w:val="00F826EA"/>
    <w:rsid w:val="00F8669C"/>
    <w:rsid w:val="00FD2073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54E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B76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Алексеева_ИВ</cp:lastModifiedBy>
  <cp:revision>2</cp:revision>
  <dcterms:created xsi:type="dcterms:W3CDTF">2019-09-16T10:43:00Z</dcterms:created>
  <dcterms:modified xsi:type="dcterms:W3CDTF">2019-09-16T10:43:00Z</dcterms:modified>
</cp:coreProperties>
</file>